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jc w:val="center"/>
        <w:rPr>
          <w:rFonts w:hint="eastAsia" w:ascii="微软雅黑" w:hAnsi="微软雅黑" w:eastAsia="微软雅黑" w:cs="仿宋_GB2312"/>
          <w:b/>
          <w:bCs/>
          <w:color w:val="000000"/>
        </w:rPr>
      </w:pPr>
      <w:r>
        <w:rPr>
          <w:rFonts w:hint="eastAsia" w:ascii="微软雅黑" w:hAnsi="微软雅黑" w:eastAsia="微软雅黑" w:cs="仿宋_GB2312"/>
          <w:b/>
          <w:bCs/>
          <w:color w:val="000000"/>
        </w:rPr>
        <w:t>2024吉林粮食品牌新电商推广项目评分标准</w:t>
      </w:r>
    </w:p>
    <w:p>
      <w:pPr>
        <w:pStyle w:val="7"/>
        <w:adjustRightInd w:val="0"/>
        <w:snapToGrid w:val="0"/>
        <w:spacing w:before="0" w:beforeAutospacing="0" w:after="0" w:afterAutospacing="0"/>
        <w:jc w:val="center"/>
        <w:rPr>
          <w:rFonts w:hint="eastAsia" w:ascii="微软雅黑" w:hAnsi="微软雅黑" w:eastAsia="微软雅黑" w:cs="仿宋_GB2312"/>
          <w:b/>
          <w:bCs/>
          <w:color w:val="000000"/>
        </w:rPr>
      </w:pPr>
      <w:bookmarkStart w:id="0" w:name="_GoBack"/>
      <w:bookmarkEnd w:id="0"/>
    </w:p>
    <w:p>
      <w:pPr>
        <w:pStyle w:val="7"/>
        <w:adjustRightInd w:val="0"/>
        <w:snapToGrid w:val="0"/>
        <w:spacing w:before="0" w:beforeAutospacing="0" w:after="0" w:afterAutospacing="0"/>
        <w:jc w:val="center"/>
        <w:rPr>
          <w:rFonts w:ascii="微软雅黑" w:hAnsi="微软雅黑" w:eastAsia="微软雅黑" w:cs="仿宋_GB2312"/>
          <w:b/>
          <w:bCs/>
          <w:color w:val="000000"/>
          <w:sz w:val="13"/>
          <w:szCs w:val="13"/>
        </w:rPr>
      </w:pPr>
    </w:p>
    <w:tbl>
      <w:tblPr>
        <w:tblStyle w:val="8"/>
        <w:tblpPr w:leftFromText="171" w:rightFromText="171" w:vertAnchor="text" w:tblpXSpec="center"/>
        <w:tblOverlap w:val="never"/>
        <w:tblW w:w="10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2124"/>
        <w:gridCol w:w="1474"/>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6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b/>
              </w:rPr>
            </w:pPr>
            <w:r>
              <w:rPr>
                <w:rFonts w:hint="eastAsia" w:ascii="微软雅黑" w:hAnsi="微软雅黑" w:eastAsia="微软雅黑" w:cs="宋体"/>
                <w:b/>
              </w:rPr>
              <w:t>序号</w:t>
            </w:r>
          </w:p>
        </w:tc>
        <w:tc>
          <w:tcPr>
            <w:tcW w:w="212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b/>
              </w:rPr>
            </w:pPr>
            <w:r>
              <w:rPr>
                <w:rFonts w:hint="eastAsia" w:ascii="微软雅黑" w:hAnsi="微软雅黑" w:eastAsia="微软雅黑" w:cs="宋体"/>
                <w:b/>
              </w:rPr>
              <w:t>评分项目</w:t>
            </w:r>
          </w:p>
        </w:tc>
        <w:tc>
          <w:tcPr>
            <w:tcW w:w="14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b/>
              </w:rPr>
            </w:pPr>
            <w:r>
              <w:rPr>
                <w:rFonts w:hint="eastAsia" w:ascii="微软雅黑" w:hAnsi="微软雅黑" w:eastAsia="微软雅黑" w:cs="宋体"/>
                <w:b/>
              </w:rPr>
              <w:t>基准分值</w:t>
            </w:r>
          </w:p>
        </w:tc>
        <w:tc>
          <w:tcPr>
            <w:tcW w:w="6571" w:type="dxa"/>
            <w:noWrap/>
            <w:tcMar>
              <w:top w:w="0" w:type="dxa"/>
              <w:left w:w="108" w:type="dxa"/>
              <w:bottom w:w="0" w:type="dxa"/>
              <w:right w:w="108" w:type="dxa"/>
            </w:tcMar>
            <w:vAlign w:val="center"/>
          </w:tcPr>
          <w:p>
            <w:pPr>
              <w:widowControl/>
              <w:adjustRightInd w:val="0"/>
              <w:snapToGrid w:val="0"/>
              <w:ind w:firstLine="2100"/>
              <w:jc w:val="center"/>
              <w:rPr>
                <w:rFonts w:ascii="微软雅黑" w:hAnsi="微软雅黑" w:eastAsia="微软雅黑" w:cs="宋体"/>
                <w:b/>
              </w:rPr>
            </w:pPr>
            <w:r>
              <w:rPr>
                <w:rFonts w:hint="eastAsia" w:ascii="微软雅黑" w:hAnsi="微软雅黑" w:eastAsia="微软雅黑"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trPr>
        <w:tc>
          <w:tcPr>
            <w:tcW w:w="6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1</w:t>
            </w:r>
          </w:p>
        </w:tc>
        <w:tc>
          <w:tcPr>
            <w:tcW w:w="212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价格因素分</w:t>
            </w:r>
          </w:p>
          <w:p>
            <w:pPr>
              <w:widowControl/>
              <w:adjustRightInd w:val="0"/>
              <w:snapToGrid w:val="0"/>
              <w:jc w:val="center"/>
              <w:rPr>
                <w:rFonts w:ascii="微软雅黑" w:hAnsi="微软雅黑" w:eastAsia="微软雅黑" w:cs="宋体"/>
              </w:rPr>
            </w:pPr>
            <w:r>
              <w:rPr>
                <w:rFonts w:hint="eastAsia" w:ascii="微软雅黑" w:hAnsi="微软雅黑" w:eastAsia="微软雅黑" w:cs="宋体"/>
              </w:rPr>
              <w:t>( 15分)</w:t>
            </w:r>
          </w:p>
        </w:tc>
        <w:tc>
          <w:tcPr>
            <w:tcW w:w="14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15分</w:t>
            </w:r>
          </w:p>
        </w:tc>
        <w:tc>
          <w:tcPr>
            <w:tcW w:w="6571" w:type="dxa"/>
            <w:noWrap/>
            <w:tcMar>
              <w:top w:w="0" w:type="dxa"/>
              <w:left w:w="108" w:type="dxa"/>
              <w:bottom w:w="0" w:type="dxa"/>
              <w:right w:w="108" w:type="dxa"/>
            </w:tcMar>
            <w:vAlign w:val="center"/>
          </w:tcPr>
          <w:p>
            <w:pPr>
              <w:widowControl/>
              <w:adjustRightInd w:val="0"/>
              <w:snapToGrid w:val="0"/>
              <w:rPr>
                <w:rFonts w:ascii="微软雅黑" w:hAnsi="微软雅黑" w:eastAsia="微软雅黑" w:cs="宋体"/>
              </w:rPr>
            </w:pPr>
            <w:r>
              <w:rPr>
                <w:rFonts w:hint="eastAsia" w:ascii="微软雅黑" w:hAnsi="微软雅黑" w:eastAsia="微软雅黑" w:cs="宋体"/>
              </w:rPr>
              <w:t>投标报价得分：以按照竞争性磋商文件规定修正后的所有合格投标人的评标价的最低价作为评分基准价。投标人的价格分按下式计算：价格分=（评分基准价/评标价）×15。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674" w:type="dxa"/>
            <w:vMerge w:val="restart"/>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2</w:t>
            </w:r>
          </w:p>
        </w:tc>
        <w:tc>
          <w:tcPr>
            <w:tcW w:w="2124" w:type="dxa"/>
            <w:vMerge w:val="restart"/>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商务因素分</w:t>
            </w:r>
          </w:p>
          <w:p>
            <w:pPr>
              <w:widowControl/>
              <w:adjustRightInd w:val="0"/>
              <w:snapToGrid w:val="0"/>
              <w:jc w:val="center"/>
              <w:rPr>
                <w:rFonts w:ascii="微软雅黑" w:hAnsi="微软雅黑" w:eastAsia="微软雅黑" w:cs="宋体"/>
              </w:rPr>
            </w:pPr>
            <w:r>
              <w:rPr>
                <w:rFonts w:hint="eastAsia" w:ascii="微软雅黑" w:hAnsi="微软雅黑" w:eastAsia="微软雅黑" w:cs="宋体"/>
              </w:rPr>
              <w:t>(48分)</w:t>
            </w:r>
          </w:p>
        </w:tc>
        <w:tc>
          <w:tcPr>
            <w:tcW w:w="14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业绩情况</w:t>
            </w:r>
          </w:p>
          <w:p>
            <w:pPr>
              <w:pStyle w:val="2"/>
              <w:adjustRightInd w:val="0"/>
              <w:snapToGrid w:val="0"/>
              <w:spacing w:after="0"/>
              <w:jc w:val="center"/>
              <w:rPr>
                <w:rFonts w:ascii="微软雅黑" w:hAnsi="微软雅黑" w:eastAsia="微软雅黑"/>
              </w:rPr>
            </w:pPr>
            <w:r>
              <w:rPr>
                <w:rFonts w:hint="eastAsia" w:ascii="微软雅黑" w:hAnsi="微软雅黑" w:eastAsia="微软雅黑"/>
              </w:rPr>
              <w:t>（10分）</w:t>
            </w:r>
          </w:p>
        </w:tc>
        <w:tc>
          <w:tcPr>
            <w:tcW w:w="6571" w:type="dxa"/>
            <w:noWrap/>
            <w:tcMar>
              <w:top w:w="0" w:type="dxa"/>
              <w:left w:w="108" w:type="dxa"/>
              <w:bottom w:w="0" w:type="dxa"/>
              <w:right w:w="108" w:type="dxa"/>
            </w:tcMar>
            <w:vAlign w:val="center"/>
          </w:tcPr>
          <w:p>
            <w:pPr>
              <w:adjustRightInd w:val="0"/>
              <w:snapToGrid w:val="0"/>
              <w:jc w:val="left"/>
              <w:rPr>
                <w:rFonts w:ascii="微软雅黑" w:hAnsi="微软雅黑" w:eastAsia="微软雅黑"/>
                <w:color w:val="000000"/>
              </w:rPr>
            </w:pPr>
            <w:r>
              <w:rPr>
                <w:rFonts w:hint="eastAsia" w:ascii="微软雅黑" w:hAnsi="微软雅黑" w:eastAsia="微软雅黑"/>
                <w:color w:val="000000"/>
              </w:rPr>
              <w:t>供应商应提供近年（2020年1月1日至今）与政府机构、央企、国企等企业合作案例，活动类型包括但不限于：论坛、培训、推介会、研讨会、发布会等。每有一项得2分，满分10分。</w:t>
            </w:r>
          </w:p>
          <w:p>
            <w:pPr>
              <w:pStyle w:val="2"/>
              <w:adjustRightInd w:val="0"/>
              <w:snapToGrid w:val="0"/>
              <w:spacing w:after="0"/>
              <w:rPr>
                <w:rFonts w:ascii="微软雅黑" w:hAnsi="微软雅黑" w:eastAsia="微软雅黑"/>
              </w:rPr>
            </w:pPr>
            <w:r>
              <w:rPr>
                <w:rFonts w:hint="eastAsia" w:ascii="微软雅黑" w:hAnsi="微软雅黑" w:eastAsia="微软雅黑"/>
                <w:color w:val="000000"/>
              </w:rPr>
              <w:t>提供合同加盖公章的复印件。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67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212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14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媒体优势</w:t>
            </w:r>
          </w:p>
          <w:p>
            <w:pPr>
              <w:pStyle w:val="2"/>
              <w:adjustRightInd w:val="0"/>
              <w:snapToGrid w:val="0"/>
              <w:spacing w:after="0"/>
              <w:jc w:val="center"/>
              <w:rPr>
                <w:rFonts w:ascii="微软雅黑" w:hAnsi="微软雅黑" w:eastAsia="微软雅黑"/>
              </w:rPr>
            </w:pPr>
            <w:r>
              <w:rPr>
                <w:rFonts w:hint="eastAsia" w:ascii="微软雅黑" w:hAnsi="微软雅黑" w:eastAsia="微软雅黑"/>
              </w:rPr>
              <w:t>（10分）</w:t>
            </w:r>
          </w:p>
        </w:tc>
        <w:tc>
          <w:tcPr>
            <w:tcW w:w="6571" w:type="dxa"/>
            <w:noWrap/>
            <w:tcMar>
              <w:top w:w="0" w:type="dxa"/>
              <w:left w:w="108" w:type="dxa"/>
              <w:bottom w:w="0" w:type="dxa"/>
              <w:right w:w="108" w:type="dxa"/>
            </w:tcMar>
            <w:vAlign w:val="center"/>
          </w:tcPr>
          <w:p>
            <w:pPr>
              <w:pStyle w:val="26"/>
              <w:adjustRightInd w:val="0"/>
              <w:snapToGrid w:val="0"/>
              <w:jc w:val="left"/>
              <w:rPr>
                <w:rFonts w:ascii="微软雅黑" w:hAnsi="微软雅黑" w:eastAsia="微软雅黑"/>
                <w:color w:val="000000"/>
              </w:rPr>
            </w:pPr>
            <w:r>
              <w:rPr>
                <w:rFonts w:hint="eastAsia" w:ascii="微软雅黑" w:hAnsi="微软雅黑" w:eastAsia="微软雅黑"/>
                <w:color w:val="000000"/>
              </w:rPr>
              <w:t>供应商能邀请到省级以上媒体资源，能够邀请到中直媒体，每邀请到1家得2分；能够邀请到省直媒体，每邀请到1家得1分。此项最高为10分。</w:t>
            </w:r>
          </w:p>
          <w:p>
            <w:pPr>
              <w:adjustRightInd w:val="0"/>
              <w:snapToGrid w:val="0"/>
              <w:jc w:val="left"/>
              <w:rPr>
                <w:rFonts w:ascii="微软雅黑" w:hAnsi="微软雅黑" w:eastAsia="微软雅黑"/>
                <w:color w:val="000000"/>
              </w:rPr>
            </w:pPr>
            <w:r>
              <w:rPr>
                <w:rFonts w:hint="eastAsia" w:ascii="微软雅黑" w:hAnsi="微软雅黑" w:eastAsia="微软雅黑"/>
                <w:color w:val="000000"/>
              </w:rPr>
              <w:t>提供《媒体回复函》，并加盖双方公章。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67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212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14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资源优势</w:t>
            </w:r>
          </w:p>
          <w:p>
            <w:pPr>
              <w:widowControl/>
              <w:adjustRightInd w:val="0"/>
              <w:snapToGrid w:val="0"/>
              <w:jc w:val="center"/>
              <w:rPr>
                <w:rFonts w:ascii="微软雅黑" w:hAnsi="微软雅黑" w:eastAsia="微软雅黑" w:cs="宋体"/>
              </w:rPr>
            </w:pPr>
            <w:r>
              <w:rPr>
                <w:rFonts w:hint="eastAsia" w:ascii="微软雅黑" w:hAnsi="微软雅黑" w:eastAsia="微软雅黑" w:cs="宋体"/>
              </w:rPr>
              <w:t>（8分）</w:t>
            </w:r>
          </w:p>
        </w:tc>
        <w:tc>
          <w:tcPr>
            <w:tcW w:w="6571" w:type="dxa"/>
            <w:noWrap/>
            <w:tcMar>
              <w:top w:w="0" w:type="dxa"/>
              <w:left w:w="108" w:type="dxa"/>
              <w:bottom w:w="0" w:type="dxa"/>
              <w:right w:w="108" w:type="dxa"/>
            </w:tcMar>
            <w:vAlign w:val="center"/>
          </w:tcPr>
          <w:p>
            <w:pPr>
              <w:pStyle w:val="2"/>
              <w:adjustRightInd w:val="0"/>
              <w:snapToGrid w:val="0"/>
              <w:spacing w:after="0"/>
              <w:rPr>
                <w:rFonts w:ascii="微软雅黑" w:hAnsi="微软雅黑" w:eastAsia="微软雅黑"/>
              </w:rPr>
            </w:pPr>
            <w:r>
              <w:rPr>
                <w:rFonts w:hint="eastAsia" w:ascii="微软雅黑" w:hAnsi="微软雅黑" w:eastAsia="微软雅黑"/>
              </w:rPr>
              <w:t>供应商能够邀请到主流电商平台讲师，作为本次活动的培训讲师，</w:t>
            </w:r>
            <w:r>
              <w:rPr>
                <w:rFonts w:hint="eastAsia" w:ascii="微软雅黑" w:hAnsi="微软雅黑" w:eastAsia="微软雅黑" w:cs="宋体"/>
              </w:rPr>
              <w:t>包括：淘宝、京东、抖音、快手平台，每邀请到一个平台的讲师得2分，最高得8分。以提供《确认回复函》作为依据。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67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212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14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运营能力</w:t>
            </w:r>
          </w:p>
          <w:p>
            <w:pPr>
              <w:widowControl/>
              <w:adjustRightInd w:val="0"/>
              <w:snapToGrid w:val="0"/>
              <w:jc w:val="center"/>
              <w:rPr>
                <w:rFonts w:ascii="微软雅黑" w:hAnsi="微软雅黑" w:eastAsia="微软雅黑" w:cs="宋体"/>
              </w:rPr>
            </w:pPr>
            <w:r>
              <w:rPr>
                <w:rFonts w:hint="eastAsia" w:ascii="微软雅黑" w:hAnsi="微软雅黑" w:eastAsia="微软雅黑" w:cs="宋体"/>
              </w:rPr>
              <w:t>（10分）</w:t>
            </w:r>
          </w:p>
        </w:tc>
        <w:tc>
          <w:tcPr>
            <w:tcW w:w="6571" w:type="dxa"/>
            <w:noWrap/>
            <w:tcMar>
              <w:top w:w="0" w:type="dxa"/>
              <w:left w:w="108" w:type="dxa"/>
              <w:bottom w:w="0" w:type="dxa"/>
              <w:right w:w="108" w:type="dxa"/>
            </w:tcMar>
            <w:vAlign w:val="center"/>
          </w:tcPr>
          <w:p>
            <w:pPr>
              <w:widowControl/>
              <w:adjustRightInd w:val="0"/>
              <w:snapToGrid w:val="0"/>
              <w:rPr>
                <w:rFonts w:ascii="微软雅黑" w:hAnsi="微软雅黑" w:eastAsia="微软雅黑" w:cs="宋体"/>
              </w:rPr>
            </w:pPr>
            <w:r>
              <w:rPr>
                <w:rFonts w:hint="eastAsia" w:ascii="微软雅黑" w:hAnsi="微软雅黑" w:eastAsia="微软雅黑" w:cs="宋体"/>
              </w:rPr>
              <w:t>供应商具有独立的直播能力：具有直播场地，直播设备，专业主播人员，专业运营人员，专业中控人员，每具备一项得2分，最高得10分。（需提供劳动合同证明以及场地照片，无合同证明不得分。）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67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212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1474" w:type="dxa"/>
            <w:noWrap/>
            <w:tcMar>
              <w:top w:w="0" w:type="dxa"/>
              <w:left w:w="108" w:type="dxa"/>
              <w:bottom w:w="0" w:type="dxa"/>
              <w:right w:w="108" w:type="dxa"/>
            </w:tcMar>
            <w:vAlign w:val="center"/>
          </w:tcPr>
          <w:p>
            <w:pPr>
              <w:pStyle w:val="2"/>
              <w:adjustRightInd w:val="0"/>
              <w:snapToGrid w:val="0"/>
              <w:spacing w:after="0"/>
              <w:jc w:val="center"/>
              <w:rPr>
                <w:rFonts w:ascii="微软雅黑" w:hAnsi="微软雅黑" w:eastAsia="微软雅黑" w:cs="宋体"/>
              </w:rPr>
            </w:pPr>
            <w:r>
              <w:rPr>
                <w:rFonts w:hint="eastAsia" w:ascii="微软雅黑" w:hAnsi="微软雅黑" w:eastAsia="微软雅黑" w:cs="宋体"/>
              </w:rPr>
              <w:t>团队实力</w:t>
            </w:r>
          </w:p>
          <w:p>
            <w:pPr>
              <w:pStyle w:val="2"/>
              <w:adjustRightInd w:val="0"/>
              <w:snapToGrid w:val="0"/>
              <w:spacing w:after="0"/>
              <w:jc w:val="center"/>
              <w:rPr>
                <w:rFonts w:ascii="微软雅黑" w:hAnsi="微软雅黑" w:eastAsia="微软雅黑" w:cs="宋体"/>
              </w:rPr>
            </w:pPr>
            <w:r>
              <w:rPr>
                <w:rFonts w:hint="eastAsia" w:ascii="微软雅黑" w:hAnsi="微软雅黑" w:eastAsia="微软雅黑" w:cs="宋体"/>
              </w:rPr>
              <w:t>（10分）</w:t>
            </w:r>
          </w:p>
        </w:tc>
        <w:tc>
          <w:tcPr>
            <w:tcW w:w="6571" w:type="dxa"/>
            <w:noWrap/>
            <w:tcMar>
              <w:top w:w="0" w:type="dxa"/>
              <w:left w:w="108" w:type="dxa"/>
              <w:bottom w:w="0" w:type="dxa"/>
              <w:right w:w="108" w:type="dxa"/>
            </w:tcMar>
            <w:vAlign w:val="center"/>
          </w:tcPr>
          <w:p>
            <w:pPr>
              <w:adjustRightInd w:val="0"/>
              <w:snapToGrid w:val="0"/>
              <w:jc w:val="left"/>
              <w:rPr>
                <w:rFonts w:ascii="微软雅黑" w:hAnsi="微软雅黑" w:eastAsia="微软雅黑"/>
                <w:color w:val="000000"/>
              </w:rPr>
            </w:pPr>
            <w:r>
              <w:rPr>
                <w:rFonts w:hint="eastAsia" w:ascii="微软雅黑" w:hAnsi="微软雅黑" w:eastAsia="微软雅黑"/>
                <w:color w:val="000000"/>
              </w:rPr>
              <w:t>供应商团队人员较固定且具有高学历人才，团队有1个本科学位证，得1分，每增加1个得1分，最高得5分。</w:t>
            </w:r>
          </w:p>
          <w:p>
            <w:pPr>
              <w:adjustRightInd w:val="0"/>
              <w:snapToGrid w:val="0"/>
              <w:jc w:val="left"/>
              <w:rPr>
                <w:rFonts w:ascii="微软雅黑" w:hAnsi="微软雅黑" w:eastAsia="微软雅黑"/>
                <w:color w:val="000000"/>
              </w:rPr>
            </w:pPr>
            <w:r>
              <w:rPr>
                <w:rFonts w:hint="eastAsia" w:ascii="微软雅黑" w:hAnsi="微软雅黑" w:eastAsia="微软雅黑"/>
                <w:color w:val="000000"/>
              </w:rPr>
              <w:t>有专业人才，具有《演出经纪资格证书》、编导、媒体运营师、主播或主持人证书等资格证书</w:t>
            </w:r>
            <w:r>
              <w:rPr>
                <w:rFonts w:ascii="微软雅黑" w:hAnsi="微软雅黑" w:eastAsia="微软雅黑"/>
                <w:color w:val="000000"/>
              </w:rPr>
              <w:t>(提供相关证件的复印件)，每提供一个资格证书得1分，最高得</w:t>
            </w:r>
            <w:r>
              <w:rPr>
                <w:rFonts w:hint="eastAsia" w:ascii="微软雅黑" w:hAnsi="微软雅黑" w:eastAsia="微软雅黑"/>
                <w:color w:val="000000"/>
              </w:rPr>
              <w:t>5</w:t>
            </w:r>
            <w:r>
              <w:rPr>
                <w:rFonts w:ascii="微软雅黑" w:hAnsi="微软雅黑" w:eastAsia="微软雅黑"/>
                <w:color w:val="000000"/>
              </w:rPr>
              <w:t>分。</w:t>
            </w:r>
          </w:p>
          <w:p>
            <w:pPr>
              <w:pStyle w:val="2"/>
              <w:adjustRightInd w:val="0"/>
              <w:snapToGrid w:val="0"/>
              <w:spacing w:after="0"/>
              <w:jc w:val="left"/>
              <w:rPr>
                <w:rFonts w:ascii="微软雅黑" w:hAnsi="微软雅黑" w:eastAsia="微软雅黑" w:cs="宋体"/>
              </w:rPr>
            </w:pPr>
            <w:r>
              <w:rPr>
                <w:rFonts w:ascii="微软雅黑" w:hAnsi="微软雅黑" w:eastAsia="微软雅黑"/>
                <w:color w:val="000000"/>
              </w:rPr>
              <w:t>以上均须提供人员与公司签订的劳动合同，无合同证明不得分</w:t>
            </w:r>
            <w:r>
              <w:rPr>
                <w:rFonts w:hint="eastAsia" w:ascii="微软雅黑" w:hAnsi="微软雅黑" w:eastAsia="微软雅黑"/>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6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3</w:t>
            </w:r>
          </w:p>
        </w:tc>
        <w:tc>
          <w:tcPr>
            <w:tcW w:w="2124" w:type="dxa"/>
            <w:vMerge w:val="restart"/>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技术因素分</w:t>
            </w:r>
          </w:p>
          <w:p>
            <w:pPr>
              <w:widowControl/>
              <w:adjustRightInd w:val="0"/>
              <w:snapToGrid w:val="0"/>
              <w:jc w:val="center"/>
              <w:rPr>
                <w:rFonts w:ascii="微软雅黑" w:hAnsi="微软雅黑" w:eastAsia="微软雅黑" w:cs="宋体"/>
              </w:rPr>
            </w:pPr>
            <w:r>
              <w:rPr>
                <w:rFonts w:hint="eastAsia" w:ascii="微软雅黑" w:hAnsi="微软雅黑" w:eastAsia="微软雅黑" w:cs="宋体"/>
              </w:rPr>
              <w:t>（32分)</w:t>
            </w:r>
          </w:p>
        </w:tc>
        <w:tc>
          <w:tcPr>
            <w:tcW w:w="1474" w:type="dxa"/>
            <w:noWrap/>
            <w:tcMar>
              <w:top w:w="0" w:type="dxa"/>
              <w:left w:w="108" w:type="dxa"/>
              <w:bottom w:w="0" w:type="dxa"/>
              <w:right w:w="108" w:type="dxa"/>
            </w:tcMar>
            <w:vAlign w:val="center"/>
          </w:tcPr>
          <w:p>
            <w:pPr>
              <w:pStyle w:val="2"/>
              <w:adjustRightInd w:val="0"/>
              <w:snapToGrid w:val="0"/>
              <w:spacing w:after="0"/>
              <w:jc w:val="center"/>
              <w:rPr>
                <w:rFonts w:ascii="微软雅黑" w:hAnsi="微软雅黑" w:eastAsia="微软雅黑" w:cs="宋体"/>
                <w:bCs/>
                <w:color w:val="000000"/>
              </w:rPr>
            </w:pPr>
            <w:r>
              <w:rPr>
                <w:rFonts w:hint="eastAsia" w:ascii="微软雅黑" w:hAnsi="微软雅黑" w:eastAsia="微软雅黑" w:cs="宋体"/>
                <w:bCs/>
                <w:color w:val="000000"/>
              </w:rPr>
              <w:t>服务方案</w:t>
            </w:r>
          </w:p>
          <w:p>
            <w:pPr>
              <w:pStyle w:val="2"/>
              <w:adjustRightInd w:val="0"/>
              <w:snapToGrid w:val="0"/>
              <w:spacing w:after="0"/>
              <w:jc w:val="center"/>
              <w:rPr>
                <w:rFonts w:ascii="微软雅黑" w:hAnsi="微软雅黑" w:eastAsia="微软雅黑" w:cs="宋体"/>
                <w:bCs/>
                <w:color w:val="000000"/>
              </w:rPr>
            </w:pPr>
            <w:r>
              <w:rPr>
                <w:rFonts w:hint="eastAsia" w:ascii="微软雅黑" w:hAnsi="微软雅黑" w:eastAsia="微软雅黑" w:cs="宋体"/>
                <w:bCs/>
                <w:color w:val="000000"/>
              </w:rPr>
              <w:t>（12分）</w:t>
            </w:r>
          </w:p>
        </w:tc>
        <w:tc>
          <w:tcPr>
            <w:tcW w:w="6571" w:type="dxa"/>
            <w:noWrap/>
            <w:tcMar>
              <w:top w:w="0" w:type="dxa"/>
              <w:left w:w="108" w:type="dxa"/>
              <w:bottom w:w="0" w:type="dxa"/>
              <w:right w:w="108" w:type="dxa"/>
            </w:tcMar>
            <w:vAlign w:val="center"/>
          </w:tcPr>
          <w:p>
            <w:pPr>
              <w:snapToGrid w:val="0"/>
              <w:contextualSpacing/>
              <w:rPr>
                <w:rFonts w:ascii="微软雅黑" w:hAnsi="微软雅黑" w:eastAsia="微软雅黑" w:cs="宋体"/>
              </w:rPr>
            </w:pPr>
            <w:r>
              <w:rPr>
                <w:rFonts w:hint="eastAsia" w:ascii="微软雅黑" w:hAnsi="微软雅黑" w:eastAsia="微软雅黑" w:cs="宋体"/>
              </w:rPr>
              <w:t>服务方案思路清晰，符合项目实际情况，包括但不限于课程设置、备选课程、现场布置、实用性分析、培训团队、市场分析等，每有一项得2分，最高得12分。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6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4</w:t>
            </w:r>
          </w:p>
        </w:tc>
        <w:tc>
          <w:tcPr>
            <w:tcW w:w="212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1474" w:type="dxa"/>
            <w:noWrap/>
            <w:tcMar>
              <w:top w:w="0" w:type="dxa"/>
              <w:left w:w="108" w:type="dxa"/>
              <w:bottom w:w="0" w:type="dxa"/>
              <w:right w:w="108" w:type="dxa"/>
            </w:tcMar>
            <w:vAlign w:val="center"/>
          </w:tcPr>
          <w:p>
            <w:pPr>
              <w:pStyle w:val="2"/>
              <w:adjustRightInd w:val="0"/>
              <w:snapToGrid w:val="0"/>
              <w:spacing w:after="0"/>
              <w:jc w:val="center"/>
              <w:rPr>
                <w:rFonts w:ascii="微软雅黑" w:hAnsi="微软雅黑" w:eastAsia="微软雅黑" w:cs="宋体"/>
                <w:bCs/>
                <w:color w:val="000000"/>
              </w:rPr>
            </w:pPr>
            <w:r>
              <w:rPr>
                <w:rFonts w:hint="eastAsia" w:ascii="微软雅黑" w:hAnsi="微软雅黑" w:eastAsia="微软雅黑" w:cs="宋体"/>
                <w:bCs/>
                <w:color w:val="000000"/>
              </w:rPr>
              <w:t>服务管理</w:t>
            </w:r>
          </w:p>
          <w:p>
            <w:pPr>
              <w:pStyle w:val="2"/>
              <w:adjustRightInd w:val="0"/>
              <w:snapToGrid w:val="0"/>
              <w:spacing w:after="0"/>
              <w:jc w:val="center"/>
              <w:rPr>
                <w:rFonts w:ascii="微软雅黑" w:hAnsi="微软雅黑" w:eastAsia="微软雅黑" w:cs="宋体"/>
                <w:bCs/>
                <w:color w:val="000000"/>
              </w:rPr>
            </w:pPr>
            <w:r>
              <w:rPr>
                <w:rFonts w:hint="eastAsia" w:ascii="微软雅黑" w:hAnsi="微软雅黑" w:eastAsia="微软雅黑" w:cs="宋体"/>
                <w:bCs/>
                <w:color w:val="000000"/>
              </w:rPr>
              <w:t>（10分）</w:t>
            </w:r>
          </w:p>
        </w:tc>
        <w:tc>
          <w:tcPr>
            <w:tcW w:w="6571" w:type="dxa"/>
            <w:noWrap/>
            <w:tcMar>
              <w:top w:w="0" w:type="dxa"/>
              <w:left w:w="108" w:type="dxa"/>
              <w:bottom w:w="0" w:type="dxa"/>
              <w:right w:w="108" w:type="dxa"/>
            </w:tcMar>
            <w:vAlign w:val="center"/>
          </w:tcPr>
          <w:p>
            <w:pPr>
              <w:snapToGrid w:val="0"/>
              <w:contextualSpacing/>
              <w:rPr>
                <w:rFonts w:ascii="微软雅黑" w:hAnsi="微软雅黑" w:eastAsia="微软雅黑" w:cs="宋体"/>
              </w:rPr>
            </w:pPr>
            <w:r>
              <w:rPr>
                <w:rFonts w:hint="eastAsia" w:ascii="微软雅黑" w:hAnsi="微软雅黑" w:eastAsia="微软雅黑" w:cs="宋体"/>
              </w:rPr>
              <w:t>提供详细的服务管理制度、岗位设置、工作流程、工作职责、行为准则等，每有一项得2分，最高得10分。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6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5</w:t>
            </w:r>
          </w:p>
        </w:tc>
        <w:tc>
          <w:tcPr>
            <w:tcW w:w="2124" w:type="dxa"/>
            <w:vMerge w:val="continue"/>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p>
        </w:tc>
        <w:tc>
          <w:tcPr>
            <w:tcW w:w="1474" w:type="dxa"/>
            <w:noWrap/>
            <w:tcMar>
              <w:top w:w="0" w:type="dxa"/>
              <w:left w:w="108" w:type="dxa"/>
              <w:bottom w:w="0" w:type="dxa"/>
              <w:right w:w="108" w:type="dxa"/>
            </w:tcMar>
            <w:vAlign w:val="center"/>
          </w:tcPr>
          <w:p>
            <w:pPr>
              <w:pStyle w:val="2"/>
              <w:adjustRightInd w:val="0"/>
              <w:snapToGrid w:val="0"/>
              <w:spacing w:after="0"/>
              <w:jc w:val="center"/>
              <w:rPr>
                <w:rFonts w:ascii="微软雅黑" w:hAnsi="微软雅黑" w:eastAsia="微软雅黑" w:cs="宋体"/>
                <w:bCs/>
                <w:color w:val="000000"/>
              </w:rPr>
            </w:pPr>
            <w:r>
              <w:rPr>
                <w:rFonts w:hint="eastAsia" w:ascii="微软雅黑" w:hAnsi="微软雅黑" w:eastAsia="微软雅黑" w:cs="宋体"/>
                <w:bCs/>
                <w:color w:val="000000"/>
              </w:rPr>
              <w:t>保障措施</w:t>
            </w:r>
          </w:p>
          <w:p>
            <w:pPr>
              <w:pStyle w:val="2"/>
              <w:adjustRightInd w:val="0"/>
              <w:snapToGrid w:val="0"/>
              <w:spacing w:after="0"/>
              <w:jc w:val="center"/>
              <w:rPr>
                <w:rFonts w:ascii="微软雅黑" w:hAnsi="微软雅黑" w:eastAsia="微软雅黑" w:cs="宋体"/>
                <w:bCs/>
                <w:color w:val="000000"/>
              </w:rPr>
            </w:pPr>
            <w:r>
              <w:rPr>
                <w:rFonts w:hint="eastAsia" w:ascii="微软雅黑" w:hAnsi="微软雅黑" w:eastAsia="微软雅黑" w:cs="宋体"/>
                <w:bCs/>
                <w:color w:val="000000"/>
              </w:rPr>
              <w:t>（10分）</w:t>
            </w:r>
          </w:p>
        </w:tc>
        <w:tc>
          <w:tcPr>
            <w:tcW w:w="6571" w:type="dxa"/>
            <w:noWrap/>
            <w:tcMar>
              <w:top w:w="0" w:type="dxa"/>
              <w:left w:w="108" w:type="dxa"/>
              <w:bottom w:w="0" w:type="dxa"/>
              <w:right w:w="108" w:type="dxa"/>
            </w:tcMar>
            <w:vAlign w:val="center"/>
          </w:tcPr>
          <w:p>
            <w:pPr>
              <w:snapToGrid w:val="0"/>
              <w:jc w:val="left"/>
              <w:rPr>
                <w:rFonts w:hint="eastAsia" w:ascii="微软雅黑" w:hAnsi="微软雅黑" w:eastAsia="微软雅黑" w:cs="宋体"/>
              </w:rPr>
            </w:pPr>
            <w:r>
              <w:rPr>
                <w:rFonts w:hint="eastAsia" w:ascii="微软雅黑" w:hAnsi="微软雅黑" w:eastAsia="微软雅黑" w:cs="宋体"/>
              </w:rPr>
              <w:t>项目建立全面完善的质量保障措施，包括但不限于质量保障措施、培训场地保障、服务保障措施、安全保障措施、应急事件预案等。每有一项得2分，最高得10分。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674" w:type="dxa"/>
            <w:noWrap/>
            <w:tcMar>
              <w:top w:w="0" w:type="dxa"/>
              <w:left w:w="108" w:type="dxa"/>
              <w:bottom w:w="0" w:type="dxa"/>
              <w:right w:w="108" w:type="dxa"/>
            </w:tcMar>
            <w:vAlign w:val="center"/>
          </w:tcPr>
          <w:p>
            <w:pPr>
              <w:widowControl/>
              <w:adjustRightInd w:val="0"/>
              <w:snapToGrid w:val="0"/>
              <w:jc w:val="center"/>
              <w:rPr>
                <w:rFonts w:ascii="微软雅黑" w:hAnsi="微软雅黑" w:eastAsia="微软雅黑" w:cs="宋体"/>
              </w:rPr>
            </w:pPr>
            <w:r>
              <w:rPr>
                <w:rFonts w:hint="eastAsia" w:ascii="微软雅黑" w:hAnsi="微软雅黑" w:eastAsia="微软雅黑" w:cs="宋体"/>
              </w:rPr>
              <w:t>6</w:t>
            </w:r>
          </w:p>
        </w:tc>
        <w:tc>
          <w:tcPr>
            <w:tcW w:w="2124" w:type="dxa"/>
            <w:noWrap/>
            <w:tcMar>
              <w:top w:w="0" w:type="dxa"/>
              <w:left w:w="108" w:type="dxa"/>
              <w:bottom w:w="0" w:type="dxa"/>
              <w:right w:w="108" w:type="dxa"/>
            </w:tcMar>
            <w:vAlign w:val="center"/>
          </w:tcPr>
          <w:p>
            <w:pPr>
              <w:adjustRightInd w:val="0"/>
              <w:snapToGrid w:val="0"/>
              <w:jc w:val="center"/>
              <w:rPr>
                <w:rFonts w:ascii="微软雅黑" w:hAnsi="微软雅黑" w:eastAsia="微软雅黑" w:cs="宋体"/>
              </w:rPr>
            </w:pPr>
            <w:r>
              <w:rPr>
                <w:rFonts w:hint="eastAsia" w:ascii="微软雅黑" w:hAnsi="微软雅黑" w:eastAsia="微软雅黑" w:cs="宋体"/>
              </w:rPr>
              <w:t>质量保障分</w:t>
            </w:r>
          </w:p>
          <w:p>
            <w:pPr>
              <w:adjustRightInd w:val="0"/>
              <w:snapToGrid w:val="0"/>
              <w:jc w:val="center"/>
              <w:rPr>
                <w:rFonts w:ascii="微软雅黑" w:hAnsi="微软雅黑" w:eastAsia="微软雅黑" w:cs="宋体"/>
              </w:rPr>
            </w:pPr>
            <w:r>
              <w:rPr>
                <w:rFonts w:hint="eastAsia" w:ascii="微软雅黑" w:hAnsi="微软雅黑" w:eastAsia="微软雅黑" w:cs="宋体"/>
              </w:rPr>
              <w:t>（5分）</w:t>
            </w:r>
          </w:p>
        </w:tc>
        <w:tc>
          <w:tcPr>
            <w:tcW w:w="1474" w:type="dxa"/>
            <w:noWrap/>
            <w:tcMar>
              <w:top w:w="0" w:type="dxa"/>
              <w:left w:w="108" w:type="dxa"/>
              <w:bottom w:w="0" w:type="dxa"/>
              <w:right w:w="108" w:type="dxa"/>
            </w:tcMar>
            <w:vAlign w:val="center"/>
          </w:tcPr>
          <w:p>
            <w:pPr>
              <w:tabs>
                <w:tab w:val="left" w:pos="510"/>
              </w:tabs>
              <w:autoSpaceDE w:val="0"/>
              <w:autoSpaceDN w:val="0"/>
              <w:adjustRightInd w:val="0"/>
              <w:snapToGrid w:val="0"/>
              <w:jc w:val="center"/>
              <w:rPr>
                <w:rFonts w:ascii="微软雅黑" w:hAnsi="微软雅黑" w:eastAsia="微软雅黑" w:cs="宋体"/>
              </w:rPr>
            </w:pPr>
            <w:r>
              <w:rPr>
                <w:rFonts w:hint="eastAsia" w:ascii="微软雅黑" w:hAnsi="微软雅黑" w:eastAsia="微软雅黑" w:cs="宋体"/>
              </w:rPr>
              <w:t>售后服务</w:t>
            </w:r>
          </w:p>
          <w:p>
            <w:pPr>
              <w:tabs>
                <w:tab w:val="left" w:pos="510"/>
              </w:tabs>
              <w:autoSpaceDE w:val="0"/>
              <w:autoSpaceDN w:val="0"/>
              <w:adjustRightInd w:val="0"/>
              <w:snapToGrid w:val="0"/>
              <w:jc w:val="center"/>
              <w:rPr>
                <w:rFonts w:ascii="微软雅黑" w:hAnsi="微软雅黑" w:eastAsia="微软雅黑" w:cs="宋体"/>
              </w:rPr>
            </w:pPr>
            <w:r>
              <w:rPr>
                <w:rFonts w:hint="eastAsia" w:ascii="微软雅黑" w:hAnsi="微软雅黑" w:eastAsia="微软雅黑" w:cs="宋体"/>
              </w:rPr>
              <w:t>（5分）</w:t>
            </w:r>
          </w:p>
        </w:tc>
        <w:tc>
          <w:tcPr>
            <w:tcW w:w="6571" w:type="dxa"/>
            <w:noWrap/>
            <w:tcMar>
              <w:top w:w="0" w:type="dxa"/>
              <w:left w:w="108" w:type="dxa"/>
              <w:bottom w:w="0" w:type="dxa"/>
              <w:right w:w="108" w:type="dxa"/>
            </w:tcMar>
            <w:vAlign w:val="center"/>
          </w:tcPr>
          <w:p>
            <w:pPr>
              <w:tabs>
                <w:tab w:val="left" w:pos="510"/>
              </w:tabs>
              <w:autoSpaceDE w:val="0"/>
              <w:autoSpaceDN w:val="0"/>
              <w:adjustRightInd w:val="0"/>
              <w:snapToGrid w:val="0"/>
              <w:rPr>
                <w:rFonts w:ascii="微软雅黑" w:hAnsi="微软雅黑" w:eastAsia="微软雅黑"/>
                <w:color w:val="000000"/>
              </w:rPr>
            </w:pPr>
            <w:r>
              <w:rPr>
                <w:rFonts w:hint="eastAsia" w:ascii="微软雅黑" w:hAnsi="微软雅黑" w:eastAsia="微软雅黑"/>
                <w:color w:val="000000"/>
              </w:rPr>
              <w:t>服务承诺有实质性内容。项目执行期间设置A、B岗得1分，工作日7天*24小时响应的1分，能够及时优先沟通得1分，项目执行后能够进行项目复盘得2分，最高得5分。</w:t>
            </w:r>
          </w:p>
          <w:p>
            <w:pPr>
              <w:pStyle w:val="2"/>
              <w:adjustRightInd w:val="0"/>
              <w:snapToGrid w:val="0"/>
              <w:spacing w:after="0"/>
              <w:rPr>
                <w:rFonts w:ascii="微软雅黑" w:hAnsi="微软雅黑" w:eastAsia="微软雅黑"/>
              </w:rPr>
            </w:pPr>
            <w:r>
              <w:rPr>
                <w:rFonts w:hint="eastAsia" w:ascii="微软雅黑" w:hAnsi="微软雅黑" w:eastAsia="微软雅黑"/>
              </w:rPr>
              <w:t>需提供《承诺函》</w:t>
            </w:r>
          </w:p>
        </w:tc>
      </w:tr>
    </w:tbl>
    <w:p>
      <w:pPr>
        <w:adjustRightInd w:val="0"/>
        <w:snapToGrid w:val="0"/>
        <w:rPr>
          <w:rFonts w:ascii="微软雅黑" w:hAnsi="微软雅黑" w:eastAsia="微软雅黑"/>
          <w:sz w:val="24"/>
          <w:szCs w:val="24"/>
        </w:rPr>
      </w:pPr>
    </w:p>
    <w:sectPr>
      <w:pgSz w:w="11906" w:h="16838"/>
      <w:pgMar w:top="567" w:right="1474" w:bottom="426"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opperplate Gothic Bold">
    <w:altName w:val="DejaVu Sans"/>
    <w:panose1 w:val="020E0705020206020404"/>
    <w:charset w:val="00"/>
    <w:family w:val="swiss"/>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61"/>
    <w:rsid w:val="000769CF"/>
    <w:rsid w:val="000C2558"/>
    <w:rsid w:val="00190D70"/>
    <w:rsid w:val="00234825"/>
    <w:rsid w:val="00276268"/>
    <w:rsid w:val="002903E4"/>
    <w:rsid w:val="002C63C3"/>
    <w:rsid w:val="003561E5"/>
    <w:rsid w:val="00537BCB"/>
    <w:rsid w:val="005964ED"/>
    <w:rsid w:val="0066363C"/>
    <w:rsid w:val="006D5F4A"/>
    <w:rsid w:val="00721E74"/>
    <w:rsid w:val="007F7D0C"/>
    <w:rsid w:val="00865327"/>
    <w:rsid w:val="00875CCA"/>
    <w:rsid w:val="009E236A"/>
    <w:rsid w:val="00A2438A"/>
    <w:rsid w:val="00A52683"/>
    <w:rsid w:val="00AE66B9"/>
    <w:rsid w:val="00B133F2"/>
    <w:rsid w:val="00B90ABA"/>
    <w:rsid w:val="00B9731A"/>
    <w:rsid w:val="00BA273F"/>
    <w:rsid w:val="00BE7F61"/>
    <w:rsid w:val="00C0167C"/>
    <w:rsid w:val="00CD4E89"/>
    <w:rsid w:val="00DB03CB"/>
    <w:rsid w:val="00E31C82"/>
    <w:rsid w:val="00E440F6"/>
    <w:rsid w:val="00F2296C"/>
    <w:rsid w:val="00FB774B"/>
    <w:rsid w:val="7FFF99E1"/>
    <w:rsid w:val="CFDD0218"/>
    <w:rsid w:val="DDAEE6A4"/>
    <w:rsid w:val="E9FB2F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after="120"/>
    </w:pPr>
  </w:style>
  <w:style w:type="paragraph" w:styleId="3">
    <w:name w:val="annotation text"/>
    <w:basedOn w:val="1"/>
    <w:qFormat/>
    <w:uiPriority w:val="0"/>
    <w:pPr>
      <w:jc w:val="left"/>
    </w:pPr>
  </w:style>
  <w:style w:type="paragraph" w:styleId="4">
    <w:name w:val="Balloon Text"/>
    <w:basedOn w:val="1"/>
    <w:link w:val="2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Medium Grid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1">
    <w:name w:val="Medium Grid 3 Accent 1"/>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2">
    <w:name w:val="Medium Grid 3 Accent 2"/>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3">
    <w:name w:val="Medium Grid 3 Accent 3"/>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4">
    <w:name w:val="Medium Grid 3 Accent 4"/>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5">
    <w:name w:val="Medium Grid 3 Accent 5"/>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6">
    <w:name w:val="Medium Grid 3 Accent 6"/>
    <w:basedOn w:val="8"/>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8">
    <w:name w:val="annotation reference"/>
    <w:basedOn w:val="17"/>
    <w:qFormat/>
    <w:uiPriority w:val="0"/>
    <w:rPr>
      <w:sz w:val="21"/>
      <w:szCs w:val="21"/>
    </w:rPr>
  </w:style>
  <w:style w:type="paragraph" w:customStyle="1" w:styleId="19">
    <w:name w:val="Normal_0"/>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
    <w:name w:val="正文_0"/>
    <w:next w:val="21"/>
    <w:qFormat/>
    <w:uiPriority w:val="99"/>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customStyle="1" w:styleId="21">
    <w:name w:val="正文文本_0"/>
    <w:basedOn w:val="20"/>
    <w:qFormat/>
    <w:uiPriority w:val="99"/>
    <w:pPr>
      <w:spacing w:after="120"/>
    </w:pPr>
  </w:style>
  <w:style w:type="paragraph" w:styleId="22">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23">
    <w:name w:val="批注框文本 字符"/>
    <w:basedOn w:val="17"/>
    <w:link w:val="4"/>
    <w:qFormat/>
    <w:uiPriority w:val="0"/>
    <w:rPr>
      <w:rFonts w:ascii="Times New Roman" w:hAnsi="Times New Roman" w:eastAsia="宋体" w:cs="Times New Roman"/>
      <w:kern w:val="2"/>
      <w:sz w:val="18"/>
      <w:szCs w:val="18"/>
    </w:rPr>
  </w:style>
  <w:style w:type="character" w:customStyle="1" w:styleId="24">
    <w:name w:val="页眉 字符"/>
    <w:basedOn w:val="17"/>
    <w:link w:val="6"/>
    <w:qFormat/>
    <w:uiPriority w:val="0"/>
    <w:rPr>
      <w:rFonts w:ascii="Times New Roman" w:hAnsi="Times New Roman" w:eastAsia="宋体" w:cs="Times New Roman"/>
      <w:kern w:val="2"/>
      <w:sz w:val="18"/>
      <w:szCs w:val="18"/>
    </w:rPr>
  </w:style>
  <w:style w:type="character" w:customStyle="1" w:styleId="25">
    <w:name w:val="正文文本 字符"/>
    <w:basedOn w:val="17"/>
    <w:link w:val="2"/>
    <w:qFormat/>
    <w:uiPriority w:val="99"/>
    <w:rPr>
      <w:rFonts w:ascii="Times New Roman" w:hAnsi="Times New Roman" w:cs="Times New Roman"/>
      <w:kern w:val="2"/>
      <w:sz w:val="21"/>
      <w:szCs w:val="21"/>
    </w:rPr>
  </w:style>
  <w:style w:type="paragraph" w:customStyle="1" w:styleId="26">
    <w:name w:val="Normal_1"/>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162</Words>
  <Characters>925</Characters>
  <Lines>7</Lines>
  <Paragraphs>2</Paragraphs>
  <TotalTime>55</TotalTime>
  <ScaleCrop>false</ScaleCrop>
  <LinksUpToDate>false</LinksUpToDate>
  <CharactersWithSpaces>1085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2024-07-05T10:08:00Z</dcterms:created>
  <dc:creator>lenovo</dc:creator>
  <cp:lastModifiedBy>qhtf</cp:lastModifiedBy>
  <dcterms:modified xsi:type="dcterms:W3CDTF">2024-07-08T11:21:29Z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da3da9039d1743caba76018249012066_23</vt:lpwstr>
  </property>
</Properties>
</file>